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970" w:rsidRPr="00CF1970" w:rsidRDefault="00CF1970" w:rsidP="00CF1970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Há resíduos de medicamentos em </w:t>
      </w:r>
      <w:proofErr w:type="spellStart"/>
      <w:r>
        <w:rPr>
          <w:b/>
          <w:sz w:val="28"/>
          <w:szCs w:val="28"/>
        </w:rPr>
        <w:t>E</w:t>
      </w:r>
      <w:r w:rsidRPr="00CF1970">
        <w:rPr>
          <w:b/>
          <w:sz w:val="28"/>
          <w:szCs w:val="28"/>
        </w:rPr>
        <w:t>TARs</w:t>
      </w:r>
      <w:proofErr w:type="spellEnd"/>
    </w:p>
    <w:p w:rsidR="00CF1970" w:rsidRPr="00CF1970" w:rsidRDefault="00CF1970" w:rsidP="00921362">
      <w:pPr>
        <w:spacing w:line="360" w:lineRule="auto"/>
        <w:jc w:val="center"/>
        <w:rPr>
          <w:b/>
          <w:sz w:val="24"/>
          <w:szCs w:val="24"/>
          <w:u w:val="single"/>
        </w:rPr>
      </w:pPr>
    </w:p>
    <w:p w:rsidR="00921362" w:rsidRPr="00CF1970" w:rsidRDefault="00921362" w:rsidP="00CF1970">
      <w:pPr>
        <w:spacing w:line="360" w:lineRule="auto"/>
        <w:jc w:val="both"/>
        <w:rPr>
          <w:b/>
          <w:sz w:val="24"/>
          <w:szCs w:val="24"/>
        </w:rPr>
      </w:pPr>
      <w:r w:rsidRPr="00CF1970">
        <w:rPr>
          <w:b/>
          <w:sz w:val="24"/>
          <w:szCs w:val="24"/>
        </w:rPr>
        <w:t xml:space="preserve">Equipa da Universidade de Coimbra faz mapeamento nacional de fármacos no ambiente. Primeiro estudo revela presença de resíduos de medicamentos em </w:t>
      </w:r>
      <w:proofErr w:type="spellStart"/>
      <w:r w:rsidRPr="00CF1970">
        <w:rPr>
          <w:b/>
          <w:sz w:val="24"/>
          <w:szCs w:val="24"/>
        </w:rPr>
        <w:t>ETARs</w:t>
      </w:r>
      <w:proofErr w:type="spellEnd"/>
      <w:r w:rsidRPr="00CF1970">
        <w:rPr>
          <w:b/>
          <w:sz w:val="24"/>
          <w:szCs w:val="24"/>
        </w:rPr>
        <w:t xml:space="preserve"> </w:t>
      </w:r>
    </w:p>
    <w:p w:rsidR="00921362" w:rsidRPr="00CF1970" w:rsidRDefault="00921362" w:rsidP="00921362">
      <w:pPr>
        <w:spacing w:line="360" w:lineRule="auto"/>
        <w:jc w:val="center"/>
        <w:rPr>
          <w:sz w:val="24"/>
          <w:szCs w:val="24"/>
        </w:rPr>
      </w:pPr>
    </w:p>
    <w:p w:rsidR="00921362" w:rsidRPr="00FF3A18" w:rsidRDefault="00921362" w:rsidP="00921362">
      <w:pPr>
        <w:spacing w:line="360" w:lineRule="auto"/>
        <w:jc w:val="both"/>
        <w:rPr>
          <w:sz w:val="24"/>
          <w:szCs w:val="24"/>
        </w:rPr>
      </w:pPr>
      <w:r w:rsidRPr="00FF3A18">
        <w:rPr>
          <w:sz w:val="24"/>
          <w:szCs w:val="24"/>
        </w:rPr>
        <w:t>O primeiro estudo integrado nacional para o mapeamento de fármacos no ambiente, a fim de dar cumprimento ao disposto na Diretiva 2013/39/EU, que exige a avaliação dos riscos potenciais para o ambiente dos medicamentos e a implementação de medidas para mitigar danos, realizado por uma equipa de investigadores da Faculdade de Farmácia da Universidade de Coimbra (FFUC), revelou a presença de resíduos de vários medicamentos em águas de Estações de Tratamento de Águas Residuais (</w:t>
      </w:r>
      <w:proofErr w:type="spellStart"/>
      <w:r w:rsidRPr="00FF3A18">
        <w:rPr>
          <w:sz w:val="24"/>
          <w:szCs w:val="24"/>
        </w:rPr>
        <w:t>ETARs</w:t>
      </w:r>
      <w:proofErr w:type="spellEnd"/>
      <w:r w:rsidRPr="00FF3A18">
        <w:rPr>
          <w:sz w:val="24"/>
          <w:szCs w:val="24"/>
        </w:rPr>
        <w:t>) de Portugal (afluentes e efluentes).</w:t>
      </w:r>
    </w:p>
    <w:p w:rsidR="00921362" w:rsidRPr="00FF3A18" w:rsidRDefault="00921362" w:rsidP="00921362">
      <w:pPr>
        <w:spacing w:line="360" w:lineRule="auto"/>
        <w:jc w:val="both"/>
        <w:rPr>
          <w:sz w:val="24"/>
          <w:szCs w:val="24"/>
        </w:rPr>
      </w:pPr>
      <w:r w:rsidRPr="00FF3A18">
        <w:rPr>
          <w:sz w:val="24"/>
          <w:szCs w:val="24"/>
        </w:rPr>
        <w:t xml:space="preserve">O grupo </w:t>
      </w:r>
      <w:proofErr w:type="spellStart"/>
      <w:r w:rsidRPr="00FF3A18">
        <w:rPr>
          <w:sz w:val="24"/>
          <w:szCs w:val="24"/>
        </w:rPr>
        <w:t>farmacoterapêutico</w:t>
      </w:r>
      <w:proofErr w:type="spellEnd"/>
      <w:r w:rsidRPr="00FF3A18">
        <w:rPr>
          <w:sz w:val="24"/>
          <w:szCs w:val="24"/>
        </w:rPr>
        <w:t xml:space="preserve"> detetado em teores mais elevados foi o grupo dos anti-inflamatórios, seguindo-se os </w:t>
      </w:r>
      <w:proofErr w:type="spellStart"/>
      <w:r w:rsidRPr="00FF3A18">
        <w:rPr>
          <w:sz w:val="24"/>
          <w:szCs w:val="24"/>
        </w:rPr>
        <w:t>antidislipidémicos</w:t>
      </w:r>
      <w:proofErr w:type="spellEnd"/>
      <w:r w:rsidRPr="00FF3A18">
        <w:rPr>
          <w:sz w:val="24"/>
          <w:szCs w:val="24"/>
        </w:rPr>
        <w:t>, os antibióticos e, por último, os ansiolíticos, evidencia o estudo "ECOPHARMAP", cofinanciado por fundos europeus, pela Fundação para a Ciência e Tecnologia (FCT) e pelo programa Compete. Durante um ano, os investigadores, coordenados pela especialista do Centro de Estudos Farmacêuticos da U</w:t>
      </w:r>
      <w:r w:rsidR="00CF1970" w:rsidRPr="00FF3A18">
        <w:rPr>
          <w:sz w:val="24"/>
          <w:szCs w:val="24"/>
        </w:rPr>
        <w:t xml:space="preserve">niversidade de </w:t>
      </w:r>
      <w:r w:rsidRPr="00FF3A18">
        <w:rPr>
          <w:sz w:val="24"/>
          <w:szCs w:val="24"/>
        </w:rPr>
        <w:t>C</w:t>
      </w:r>
      <w:r w:rsidR="00CF1970" w:rsidRPr="00FF3A18">
        <w:rPr>
          <w:sz w:val="24"/>
          <w:szCs w:val="24"/>
        </w:rPr>
        <w:t>oimbra</w:t>
      </w:r>
      <w:r w:rsidRPr="00FF3A18">
        <w:rPr>
          <w:sz w:val="24"/>
          <w:szCs w:val="24"/>
        </w:rPr>
        <w:t xml:space="preserve"> Angelina Pena, efetuaram a monitorização de 11 fármacos, pertencentes a 4 grupos terapêuticos, em 15 </w:t>
      </w:r>
      <w:proofErr w:type="spellStart"/>
      <w:r w:rsidRPr="00FF3A18">
        <w:rPr>
          <w:sz w:val="24"/>
          <w:szCs w:val="24"/>
        </w:rPr>
        <w:t>ETARs</w:t>
      </w:r>
      <w:proofErr w:type="spellEnd"/>
      <w:r w:rsidRPr="00FF3A18">
        <w:rPr>
          <w:sz w:val="24"/>
          <w:szCs w:val="24"/>
        </w:rPr>
        <w:t xml:space="preserve"> de Portugal.</w:t>
      </w:r>
    </w:p>
    <w:p w:rsidR="00921362" w:rsidRPr="00FF3A18" w:rsidRDefault="00921362" w:rsidP="00921362">
      <w:pPr>
        <w:spacing w:line="360" w:lineRule="auto"/>
        <w:jc w:val="both"/>
        <w:rPr>
          <w:sz w:val="24"/>
          <w:szCs w:val="24"/>
        </w:rPr>
      </w:pPr>
      <w:r w:rsidRPr="00FF3A18">
        <w:rPr>
          <w:sz w:val="24"/>
          <w:szCs w:val="24"/>
        </w:rPr>
        <w:t>«Apesar de se ter observado uma elevada eficiência de remoção para alguns fármacos, os valores foram variáveis entre os grupos terapêuticos e ao longo do ano», afirma Angelina Pena. Os resultados vão ser apresentados e analisados, no dia 18 de junho, no decorrer do seminário “</w:t>
      </w:r>
      <w:proofErr w:type="spellStart"/>
      <w:r w:rsidRPr="00FF3A18">
        <w:rPr>
          <w:sz w:val="24"/>
          <w:szCs w:val="24"/>
        </w:rPr>
        <w:t>Emerging</w:t>
      </w:r>
      <w:proofErr w:type="spellEnd"/>
      <w:r w:rsidRPr="00FF3A18">
        <w:rPr>
          <w:sz w:val="24"/>
          <w:szCs w:val="24"/>
        </w:rPr>
        <w:t xml:space="preserve"> </w:t>
      </w:r>
      <w:proofErr w:type="spellStart"/>
      <w:r w:rsidRPr="00FF3A18">
        <w:rPr>
          <w:sz w:val="24"/>
          <w:szCs w:val="24"/>
        </w:rPr>
        <w:t>Pollutants</w:t>
      </w:r>
      <w:proofErr w:type="spellEnd"/>
      <w:r w:rsidRPr="00FF3A18">
        <w:rPr>
          <w:sz w:val="24"/>
          <w:szCs w:val="24"/>
        </w:rPr>
        <w:t xml:space="preserve">: </w:t>
      </w:r>
      <w:proofErr w:type="spellStart"/>
      <w:r w:rsidRPr="00FF3A18">
        <w:rPr>
          <w:sz w:val="24"/>
          <w:szCs w:val="24"/>
        </w:rPr>
        <w:t>Environmental</w:t>
      </w:r>
      <w:proofErr w:type="spellEnd"/>
      <w:r w:rsidRPr="00FF3A18">
        <w:rPr>
          <w:sz w:val="24"/>
          <w:szCs w:val="24"/>
        </w:rPr>
        <w:t xml:space="preserve"> </w:t>
      </w:r>
      <w:proofErr w:type="spellStart"/>
      <w:r w:rsidRPr="00FF3A18">
        <w:rPr>
          <w:sz w:val="24"/>
          <w:szCs w:val="24"/>
        </w:rPr>
        <w:t>and</w:t>
      </w:r>
      <w:proofErr w:type="spellEnd"/>
      <w:r w:rsidRPr="00FF3A18">
        <w:rPr>
          <w:sz w:val="24"/>
          <w:szCs w:val="24"/>
        </w:rPr>
        <w:t xml:space="preserve"> </w:t>
      </w:r>
      <w:proofErr w:type="spellStart"/>
      <w:r w:rsidRPr="00FF3A18">
        <w:rPr>
          <w:sz w:val="24"/>
          <w:szCs w:val="24"/>
        </w:rPr>
        <w:t>Public</w:t>
      </w:r>
      <w:proofErr w:type="spellEnd"/>
      <w:r w:rsidRPr="00FF3A18">
        <w:rPr>
          <w:sz w:val="24"/>
          <w:szCs w:val="24"/>
        </w:rPr>
        <w:t xml:space="preserve"> </w:t>
      </w:r>
      <w:proofErr w:type="spellStart"/>
      <w:r w:rsidRPr="00FF3A18">
        <w:rPr>
          <w:sz w:val="24"/>
          <w:szCs w:val="24"/>
        </w:rPr>
        <w:t>Health</w:t>
      </w:r>
      <w:proofErr w:type="spellEnd"/>
      <w:r w:rsidRPr="00FF3A18">
        <w:rPr>
          <w:sz w:val="24"/>
          <w:szCs w:val="24"/>
        </w:rPr>
        <w:t xml:space="preserve"> </w:t>
      </w:r>
      <w:proofErr w:type="spellStart"/>
      <w:r w:rsidRPr="00FF3A18">
        <w:rPr>
          <w:sz w:val="24"/>
          <w:szCs w:val="24"/>
        </w:rPr>
        <w:t>Concerns</w:t>
      </w:r>
      <w:proofErr w:type="spellEnd"/>
      <w:r w:rsidRPr="00FF3A18">
        <w:rPr>
          <w:sz w:val="24"/>
          <w:szCs w:val="24"/>
        </w:rPr>
        <w:t>”, que terá lugar na Faculdade de Farmácia da Universidade de Coimbra (FFUC).</w:t>
      </w:r>
    </w:p>
    <w:p w:rsidR="00921362" w:rsidRPr="00FF3A18" w:rsidRDefault="00921362" w:rsidP="00921362">
      <w:pPr>
        <w:spacing w:line="360" w:lineRule="auto"/>
        <w:rPr>
          <w:rFonts w:ascii="Gill Sans MT" w:hAnsi="Gill Sans MT"/>
          <w:i/>
        </w:rPr>
      </w:pPr>
    </w:p>
    <w:p w:rsidR="00FF3A18" w:rsidRPr="00FF3A18" w:rsidRDefault="00921362" w:rsidP="00921362">
      <w:pPr>
        <w:spacing w:line="360" w:lineRule="auto"/>
        <w:jc w:val="both"/>
        <w:rPr>
          <w:rFonts w:ascii="Gill Sans MT" w:hAnsi="Gill Sans MT"/>
        </w:rPr>
      </w:pPr>
      <w:r w:rsidRPr="00FF3A18">
        <w:rPr>
          <w:rFonts w:ascii="Gill Sans MT" w:hAnsi="Gill Sans MT"/>
        </w:rPr>
        <w:t>Cristina Pinto (Assessoria de Imprensa - Universidade de Coimbra)</w:t>
      </w:r>
    </w:p>
    <w:p w:rsidR="00921362" w:rsidRPr="00921362" w:rsidRDefault="00921362" w:rsidP="00921362">
      <w:pPr>
        <w:spacing w:line="360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lastRenderedPageBreak/>
        <w:t>Ciência na Imprensa Regional – Ciência Viva</w:t>
      </w:r>
    </w:p>
    <w:sectPr w:rsidR="00921362" w:rsidRPr="00921362" w:rsidSect="00BA4C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921362"/>
    <w:rsid w:val="0024012E"/>
    <w:rsid w:val="00912C12"/>
    <w:rsid w:val="00921362"/>
    <w:rsid w:val="00BA4C35"/>
    <w:rsid w:val="00C11DF3"/>
    <w:rsid w:val="00CF1970"/>
    <w:rsid w:val="00FF3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C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2136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282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3</cp:revision>
  <dcterms:created xsi:type="dcterms:W3CDTF">2014-06-17T11:03:00Z</dcterms:created>
  <dcterms:modified xsi:type="dcterms:W3CDTF">2014-06-17T11:45:00Z</dcterms:modified>
</cp:coreProperties>
</file>