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pPr>
      <w:r w:rsidRPr="00000000" w:rsidR="00000000" w:rsidDel="00000000">
        <w:rPr>
          <w:rFonts w:cs="Verdana" w:hAnsi="Verdana" w:eastAsia="Verdana" w:ascii="Verdana"/>
          <w:b w:val="1"/>
          <w:sz w:val="22"/>
          <w:rtl w:val="0"/>
        </w:rPr>
        <w:t xml:space="preserve">20-Cuidados para evitar o roubo de identidade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Autor: </w:t>
      </w:r>
      <w:r w:rsidRPr="00000000" w:rsidR="00000000" w:rsidDel="00000000">
        <w:rPr>
          <w:rFonts w:cs="Verdana" w:hAnsi="Verdana" w:eastAsia="Verdana" w:ascii="Verdana"/>
          <w:sz w:val="22"/>
          <w:vertAlign w:val="superscript"/>
          <w:rtl w:val="0"/>
        </w:rPr>
        <w:t xml:space="preserve"> </w:t>
      </w:r>
      <w:r w:rsidRPr="00000000" w:rsidR="00000000" w:rsidDel="00000000">
        <w:rPr>
          <w:rFonts w:cs="Verdana" w:hAnsi="Verdana" w:eastAsia="Verdana" w:ascii="Verdana"/>
          <w:sz w:val="22"/>
          <w:highlight w:val="white"/>
          <w:rtl w:val="0"/>
        </w:rPr>
        <w:t xml:space="preserve">C</w:t>
      </w:r>
      <w:r w:rsidRPr="00000000" w:rsidR="00000000" w:rsidDel="00000000">
        <w:rPr>
          <w:rFonts w:cs="Verdana" w:hAnsi="Verdana" w:eastAsia="Verdana" w:ascii="Verdana"/>
          <w:color w:val="494949"/>
          <w:sz w:val="22"/>
          <w:highlight w:val="white"/>
          <w:rtl w:val="0"/>
        </w:rPr>
        <w:t xml:space="preserve">ERT.PT- Serviço de Resposta a Incidentes de Segurança Informática</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O roubo de identidade pode servir diferentes fins ilícitos. Se um criminoso pretende cometer um crime, o mais certo é que irá tentar ocultar a sua verdadeira identidade. Melhor do que assumir uma identidade fictícia é assumir a identidade de alguém que existe de facto. A identidade roubada é neste caso usada como uma máscara pelo criminoso. O criminoso pode assim utilizar a identidade assumida para executar operações que não estaria, de outro modo, autorizado a fazer, como movimentos bancários na conta de uma outra vítima, por exemplo.</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Os meios tecnológicos proporcionam novas formas de proceder ao roubo de identidade. No entanto, este é um crime que não apareceu apenas na era digital. Desde há muito tempo que pessoas mal intencionadas roubam documentos, vasculham o lixo alheio e procedem a uma panóplia de artifícios para obterem dados que identifiquem outras pessoas e lhes permitam fazerem-se passar por elas.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Seja no domínio informático ou noutros, as precauções a tomar têm sempre por objetivo evitar que a nossa informação pessoal caia em mãos alheias. Eis alguns dos cuidados a ter:</w:t>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ab/>
        <w:t xml:space="preserve">- Proteja os seus documentos e controle o acesso aos mesmos. O ideal é que o material digital sensível seja mantido em forma cifrada e documentos físicos tenham a salvaguarda de, no mínimo, uma boa fechadura ou, preferencialmente, um bom cofre</w:t>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ab/>
        <w:t xml:space="preserve">- Destrua qualquer tipo de documento de que já não necessite, seja digital ou em papel, que contenha identificação, dados bancários, morada, número de telefone, etc. Recibos de cartões de crédito ou multibanco são especialmente apetecíveis para os criminosos. Nunca deite estes papéis para o lixo</w:t>
      </w:r>
    </w:p>
    <w:p w:rsidP="00000000" w:rsidRPr="00000000" w:rsidR="00000000" w:rsidDel="00000000" w:rsidRDefault="00000000">
      <w:pPr>
        <w:spacing w:lineRule="auto" w:line="240"/>
        <w:contextualSpacing w:val="0"/>
      </w:pPr>
      <w:bookmarkStart w:id="0" w:colFirst="0" w:name="h.gjdgxs" w:colLast="0"/>
      <w:bookmarkEnd w:id="0"/>
      <w:r w:rsidRPr="00000000" w:rsidR="00000000" w:rsidDel="00000000">
        <w:rPr>
          <w:rFonts w:cs="Verdana" w:hAnsi="Verdana" w:eastAsia="Verdana" w:ascii="Verdana"/>
          <w:sz w:val="22"/>
          <w:rtl w:val="0"/>
        </w:rPr>
        <w:tab/>
        <w:t xml:space="preserve">- Não forneça dados pessoais por email ou telefone, principalmente sem a certeza absoluta de quem está do outro lado. Tenha especial cuidado com dados que revela em Redes Sociais e outros sites. É impossível prever quem poderá vir a aceder a essa informação, por muito inocente que lhe possa parecer. Por vezes, com base em poucos dados, é possível fazer extrapolações que conduzem a informação mais “interessante”.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Relativamente a contas bancárias, uma especial nota de atenção. Se suspeitar que foi vítima de roubo de identidade, não perca tempo e aja rapidamente. Verifique regularmente os extratos bancários. Comunique de imediato qualquer irregularidade ao seu banco e, em caso de confirmação de atividade indevida, faça uma queixa-crime junto do departamento competente da Polícia Judiciária. O mesmo se aplica a cartões de crédito e débito. Muitas entidades fornecedoras de serviços financeiros dispõem de linhas especiais de atendimento 24/7 para responder a emergências e podem proceder ao cancelamento imediato de um cartão a pedido do cliente. Esta é uma informação que deve ter sempre à mão, para qualquer eventualidade.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b w:val="1"/>
          <w:color w:val="494949"/>
          <w:sz w:val="22"/>
          <w:highlight w:val="white"/>
          <w:rtl w:val="0"/>
        </w:rPr>
        <w:t xml:space="preserve">Mês Europeu da Cibersegurança</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sz w:val="22"/>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sz w:val="22"/>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sz w:val="22"/>
          <w:rtl w:val="0"/>
        </w:rPr>
        <w:t xml:space="preserve">Nota aos editores da Imprensa regional</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sz w:val="22"/>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Os artigos da autoria dos técnicos do CERT.PT incluídos no </w:t>
      </w:r>
      <w:r w:rsidRPr="00000000" w:rsidR="00000000" w:rsidDel="00000000">
        <w:rPr>
          <w:rFonts w:cs="Verdana" w:hAnsi="Verdana" w:eastAsia="Verdana" w:ascii="Verdana"/>
          <w:color w:val="494949"/>
          <w:sz w:val="22"/>
          <w:highlight w:val="white"/>
          <w:rtl w:val="0"/>
        </w:rPr>
        <w:t xml:space="preserve">Mês Europeu da Cibersegurança, que tem lugar em Outubro de 2013</w:t>
      </w:r>
      <w:r w:rsidRPr="00000000" w:rsidR="00000000" w:rsidDel="00000000">
        <w:rPr>
          <w:rFonts w:cs="Verdana" w:hAnsi="Verdana" w:eastAsia="Verdana" w:ascii="Verdana"/>
          <w:color w:val="494949"/>
          <w:sz w:val="22"/>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sz w:val="22"/>
          <w:rtl w:val="0"/>
        </w:rPr>
        <w:t xml:space="preserve">Foto de xxx</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sz w:val="22"/>
          <w:rtl w:val="0"/>
        </w:rPr>
        <w:t xml:space="preserve">(Existem ficheiros de imagem de mais alta resolução disponíveis para download)</w:t>
      </w:r>
    </w:p>
    <w:sectPr>
      <w:pgSz w:w="11900" w:h="16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Verdan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contextualSpacing w:val="1"/>
      <w:jc w:val="left"/>
    </w:pPr>
    <w:rPr>
      <w:rFonts w:cs="Cambria" w:hAnsi="Cambria" w:eastAsia="Cambria" w:ascii="Cambria"/>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20-Roubo de Identidade-2772 c OK.docx</dc:title>
</cp:coreProperties>
</file>