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O que é o cyberbullying?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sz w:val="22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sz w:val="22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Bullying 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é um termo inglês utilizado na descrição de atos de violência física ou psicológica praticados por um indivíduo, normalmente o “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valentão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” de um grupo ou turma. Em inglês, o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bully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. Podemos definir o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cyberbullying 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como a prática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bullying 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recorrendo a tecnologias de informação como a Internet, telemóveis ou quaisquer outros meios digitais que permitam interação entre utilizadores.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ataques são normalmente dirigidos a indivíduos que não se podem defender. São, frequentemente, física ou psicologicamente mais fracos, pertencentes a minorias étnicas ou com maiores dificuldades de adaptação social.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Note-se que apenas falamos em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cyberbullying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quando ambos os envolvidos (agressor e vítima) são menores. Se o agressor for um adulto, este comportamento é considerado perseguição ou assédio de menores.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Não existe um padrão para definir o relacionamento entre atacante e vítima, podendo ser colegas de escola, de turma, da equipa de desporto, etc. No entanto, é usual conhecerem-se da comunidade escolar. Quanto aos meios utilizados, estão apenas limitados pela imaginação do atacante e respetivos conhecimentos das novas tecnologias. Entre estes vetores de ataque, encontram-se: assédio através de Instant Messaging ou SMS, difamação em redes sociais, roubo de palavras-passe, utilização abusiva de identidade para publicação em blogues e redes sociais e envio de vírus e “malware”. É de notar que grande parte dos danos sobre a vítima resultam, frequentemente, de roubo ou usurpação de identidade. Quanto às motivações, não existe um perfil concreto, podendo o espectro de justificações estar compreendido entre afirmação social, raiva, revolta, vingança, frustração ou mero entretenimento.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 roubo de identidade é uma das formas mais graves de que o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cyberbullying 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se reveste, pelo que a consciencialização das crianças e jovens para a importância da proteção da privacidade é um fator preventivo. Na frente reativa, importa referir que o combate a este tipo de ataques é um problema complexo. Tanto na escola como em casa, é muito importante que a vítima sinta o apoio necessário, tanto para reportar o problema, como para receber ajuda. Sobretudo, pais e professores devem estar alerta para alterações radicais de temperamento e comportamento das crianças ou jovens a seu cargo e, sobretudo, nunca devem subestimar o impacto negativo que uma situação de </w:t>
      </w:r>
      <w:r w:rsidRPr="00000000" w:rsidR="00000000" w:rsidDel="00000000">
        <w:rPr>
          <w:rFonts w:cs="Verdana" w:hAnsi="Verdana" w:eastAsia="Verdana" w:ascii="Verdana"/>
          <w:i w:val="1"/>
          <w:sz w:val="22"/>
          <w:rtl w:val="0"/>
        </w:rPr>
        <w:t xml:space="preserve">cyberbullying </w:t>
      </w: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pode causar.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sz w:val="22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line="240"/>
        <w:ind w:left="0" w:firstLine="0"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sz w:val="22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------------------------------------------------------------------------------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200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Foto de Peter Close</w:t>
      </w:r>
    </w:p>
    <w:p w:rsidP="00000000" w:rsidRPr="00000000" w:rsidR="00000000" w:rsidDel="00000000" w:rsidRDefault="00000000">
      <w:pPr>
        <w:spacing w:lineRule="auto" w:after="200" w:line="240"/>
        <w:ind w:left="0" w:firstLine="0"/>
        <w:contextualSpacing w:val="0"/>
        <w:rPr/>
      </w:pPr>
      <w:r w:rsidRPr="00000000" w:rsidR="00000000" w:rsidDel="00000000">
        <w:rPr>
          <w:rFonts w:cs="Verdana" w:hAnsi="Verdana" w:eastAsia="Verdana" w:ascii="Verdana"/>
          <w:sz w:val="22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sectPr>
      <w:pgSz w:w="11900" w:h="16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Verdan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Cambria" w:hAnsi="Cambria" w:eastAsia="Cambria" w:ascii="Cambria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10-Cyberbullying-2391 c.docx</dc:title>
</cp:coreProperties>
</file>