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8DA92" w14:textId="34EAA8A8" w:rsidR="002C2BE2" w:rsidRPr="00543EC9" w:rsidRDefault="00520BB9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  <w:lang w:val="pt-PT"/>
        </w:rPr>
      </w:pPr>
      <w:r w:rsidRPr="00543EC9">
        <w:rPr>
          <w:rFonts w:cstheme="minorHAnsi"/>
          <w:b/>
          <w:bCs/>
          <w:color w:val="000000"/>
          <w:sz w:val="28"/>
          <w:szCs w:val="28"/>
          <w:shd w:val="clear" w:color="auto" w:fill="FFFFFF"/>
          <w:lang w:val="pt-PT"/>
        </w:rPr>
        <w:t>UE precisa de uma nova estratégia para conservar a biodiversidade</w:t>
      </w:r>
    </w:p>
    <w:p w14:paraId="2954FBD7" w14:textId="3C4E3388" w:rsidR="00520BB9" w:rsidRPr="00520BB9" w:rsidRDefault="00520BB9">
      <w:pPr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pt-PT"/>
        </w:rPr>
      </w:pPr>
    </w:p>
    <w:p w14:paraId="1F1BCCBD" w14:textId="28588A38" w:rsidR="00520BB9" w:rsidRPr="00520BB9" w:rsidRDefault="00520BB9">
      <w:pPr>
        <w:rPr>
          <w:rFonts w:cstheme="minorHAnsi"/>
          <w:i/>
          <w:iCs/>
          <w:color w:val="000000"/>
          <w:sz w:val="24"/>
          <w:szCs w:val="24"/>
          <w:shd w:val="clear" w:color="auto" w:fill="FFFFFF"/>
          <w:lang w:val="pt-PT"/>
        </w:rPr>
      </w:pPr>
      <w:r w:rsidRPr="00520BB9">
        <w:rPr>
          <w:rFonts w:cstheme="minorHAnsi"/>
          <w:i/>
          <w:iCs/>
          <w:color w:val="000000"/>
          <w:sz w:val="24"/>
          <w:szCs w:val="24"/>
          <w:shd w:val="clear" w:color="auto" w:fill="FFFFFF"/>
          <w:lang w:val="pt-PT"/>
        </w:rPr>
        <w:t>Financiamento beneficia desde 1992 os projetos com animais carismáticos e</w:t>
      </w:r>
      <w:r w:rsidR="001E0B3B">
        <w:rPr>
          <w:rFonts w:cstheme="minorHAnsi"/>
          <w:i/>
          <w:iCs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Pr="00520BB9">
        <w:rPr>
          <w:rFonts w:cstheme="minorHAnsi"/>
          <w:i/>
          <w:iCs/>
          <w:color w:val="000000"/>
          <w:sz w:val="24"/>
          <w:szCs w:val="24"/>
          <w:shd w:val="clear" w:color="auto" w:fill="FFFFFF"/>
          <w:lang w:val="pt-PT"/>
        </w:rPr>
        <w:t>secundariza os restantes, alerta estudo com quatro autores portugueses</w:t>
      </w:r>
      <w:r w:rsidR="001E0B3B">
        <w:rPr>
          <w:rFonts w:cstheme="minorHAnsi"/>
          <w:i/>
          <w:iCs/>
          <w:color w:val="000000"/>
          <w:sz w:val="24"/>
          <w:szCs w:val="24"/>
          <w:shd w:val="clear" w:color="auto" w:fill="FFFFFF"/>
          <w:lang w:val="pt-PT"/>
        </w:rPr>
        <w:t>.</w:t>
      </w:r>
    </w:p>
    <w:p w14:paraId="0BCB3F5E" w14:textId="0F4AB372" w:rsidR="00520BB9" w:rsidRPr="00520BB9" w:rsidRDefault="00520BB9">
      <w:pPr>
        <w:rPr>
          <w:rFonts w:cstheme="minorHAnsi"/>
          <w:i/>
          <w:iCs/>
          <w:color w:val="000000"/>
          <w:sz w:val="24"/>
          <w:szCs w:val="24"/>
          <w:shd w:val="clear" w:color="auto" w:fill="FFFFFF"/>
          <w:lang w:val="pt-PT"/>
        </w:rPr>
      </w:pPr>
    </w:p>
    <w:p w14:paraId="187D5C9B" w14:textId="581441C0" w:rsidR="00520BB9" w:rsidRPr="00520BB9" w:rsidRDefault="00520BB9" w:rsidP="00520B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520BB9">
        <w:rPr>
          <w:rFonts w:eastAsia="Times New Roman" w:cstheme="minorHAnsi"/>
          <w:color w:val="000000"/>
          <w:sz w:val="24"/>
          <w:szCs w:val="24"/>
          <w:lang w:val="pt-PT" w:eastAsia="pt-PT"/>
        </w:rPr>
        <w:t>A União Europeia precisa de uma nova estratégia para conservar a sua biodiversidade, pois tem enviesado o financiamento para animais carismáticos como o urso, o lobo e o lince. A conclusão acaba de sair num</w:t>
      </w:r>
      <w:r w:rsidRPr="00520BB9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hyperlink r:id="rId4" w:tgtFrame="_blank" w:history="1">
        <w:r w:rsidRPr="00520BB9">
          <w:rPr>
            <w:rFonts w:eastAsia="Times New Roman" w:cstheme="minorHAnsi"/>
            <w:color w:val="954F72"/>
            <w:sz w:val="24"/>
            <w:szCs w:val="24"/>
            <w:u w:val="single"/>
            <w:lang w:val="pt-PT" w:eastAsia="pt-PT"/>
          </w:rPr>
          <w:t>artigo</w:t>
        </w:r>
      </w:hyperlink>
      <w:r w:rsidRPr="00520BB9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r w:rsidRPr="00520BB9">
        <w:rPr>
          <w:rFonts w:eastAsia="Times New Roman" w:cstheme="minorHAnsi"/>
          <w:color w:val="000000"/>
          <w:sz w:val="24"/>
          <w:szCs w:val="24"/>
          <w:lang w:val="pt-PT" w:eastAsia="pt-PT"/>
        </w:rPr>
        <w:t>científico da prestigiada revista</w:t>
      </w:r>
      <w:r w:rsidRPr="00520BB9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r w:rsidRPr="00520BB9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>“</w:t>
      </w:r>
      <w:r w:rsidRPr="00520BB9">
        <w:rPr>
          <w:rFonts w:eastAsia="Times New Roman" w:cstheme="minorHAnsi"/>
          <w:color w:val="000000"/>
          <w:sz w:val="24"/>
          <w:szCs w:val="24"/>
          <w:lang w:val="pt-PT" w:eastAsia="pt-PT"/>
        </w:rPr>
        <w:t>Proceedings of the Royal Society B”, que inclui</w:t>
      </w:r>
      <w:r w:rsidRPr="00520BB9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r w:rsidRPr="00520BB9">
        <w:rPr>
          <w:rFonts w:eastAsia="Times New Roman" w:cstheme="minorHAnsi"/>
          <w:color w:val="000000"/>
          <w:sz w:val="24"/>
          <w:szCs w:val="24"/>
          <w:lang w:val="pt-PT" w:eastAsia="pt-PT"/>
        </w:rPr>
        <w:t>portugueses das universidades do Minho, Porto e Helsínquia (Finlândia) entre os autores.</w:t>
      </w:r>
    </w:p>
    <w:p w14:paraId="3AECC118" w14:textId="40CEC964" w:rsidR="00520BB9" w:rsidRPr="00520BB9" w:rsidRDefault="00520BB9" w:rsidP="00520B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520BB9">
        <w:rPr>
          <w:rFonts w:eastAsia="Times New Roman" w:cstheme="minorHAnsi"/>
          <w:color w:val="000000"/>
          <w:sz w:val="24"/>
          <w:szCs w:val="24"/>
          <w:lang w:val="pt-PT" w:eastAsia="pt-PT"/>
        </w:rPr>
        <w:t>Os cientistas avaliaram os projetos do Programa LIFE para espécies animais que foram financiados pela UE entre 1992 e 2018. Para Ronaldo Sousa, investigador no Centro de Biologia Molecular e Ambiental (</w:t>
      </w:r>
      <w:hyperlink r:id="rId5" w:anchor="NOP" w:history="1">
        <w:r w:rsidRPr="00520BB9">
          <w:rPr>
            <w:rFonts w:eastAsia="Times New Roman" w:cstheme="minorHAnsi"/>
            <w:color w:val="954F72"/>
            <w:sz w:val="24"/>
            <w:szCs w:val="24"/>
            <w:u w:val="single"/>
            <w:lang w:val="pt-PT" w:eastAsia="pt-PT"/>
          </w:rPr>
          <w:t>CBMA</w:t>
        </w:r>
      </w:hyperlink>
      <w:r w:rsidRPr="00520BB9">
        <w:rPr>
          <w:rFonts w:eastAsia="Times New Roman" w:cstheme="minorHAnsi"/>
          <w:color w:val="000000"/>
          <w:sz w:val="24"/>
          <w:szCs w:val="24"/>
          <w:lang w:val="pt-PT" w:eastAsia="pt-PT"/>
        </w:rPr>
        <w:t>) e professor do Departamento de Biologia da Escola de Ciências da UMinho, o apoio a projetos com espécies vertebradas foi seis vezes maior do que com invertebradas (970 </w:t>
      </w:r>
      <w:r w:rsidRPr="00520BB9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>versus</w:t>
      </w:r>
      <w:r w:rsidRPr="00520BB9">
        <w:rPr>
          <w:rFonts w:eastAsia="Times New Roman" w:cstheme="minorHAnsi"/>
          <w:color w:val="000000"/>
          <w:sz w:val="24"/>
          <w:szCs w:val="24"/>
          <w:lang w:val="pt-PT" w:eastAsia="pt-PT"/>
        </w:rPr>
        <w:t> 150 milhões de euros). Aliás, aves e mamíferos representaram 72% das espécies contempladas e 75% do orçamento total atribuído. As espécies que “receberam” mais fundos foram o urso (</w:t>
      </w:r>
      <w:r w:rsidRPr="00520BB9">
        <w:rPr>
          <w:rFonts w:eastAsia="Times New Roman" w:cstheme="minorHAnsi"/>
          <w:i/>
          <w:iCs/>
          <w:color w:val="231F20"/>
          <w:sz w:val="24"/>
          <w:szCs w:val="24"/>
          <w:lang w:val="pt-PT" w:eastAsia="pt-PT"/>
        </w:rPr>
        <w:t>Ursus arctos</w:t>
      </w:r>
      <w:r w:rsidRPr="00520BB9">
        <w:rPr>
          <w:rFonts w:eastAsia="Times New Roman" w:cstheme="minorHAnsi"/>
          <w:color w:val="000000"/>
          <w:sz w:val="24"/>
          <w:szCs w:val="24"/>
          <w:lang w:val="pt-PT" w:eastAsia="pt-PT"/>
        </w:rPr>
        <w:t>), o lobo (</w:t>
      </w:r>
      <w:r w:rsidRPr="00520BB9">
        <w:rPr>
          <w:rFonts w:eastAsia="Times New Roman" w:cstheme="minorHAnsi"/>
          <w:i/>
          <w:iCs/>
          <w:color w:val="231F20"/>
          <w:sz w:val="24"/>
          <w:szCs w:val="24"/>
          <w:lang w:val="pt-PT" w:eastAsia="pt-PT"/>
        </w:rPr>
        <w:t>Canis lupus</w:t>
      </w:r>
      <w:r w:rsidRPr="00520BB9">
        <w:rPr>
          <w:rFonts w:eastAsia="Times New Roman" w:cstheme="minorHAnsi"/>
          <w:color w:val="000000"/>
          <w:sz w:val="24"/>
          <w:szCs w:val="24"/>
          <w:lang w:val="pt-PT" w:eastAsia="pt-PT"/>
        </w:rPr>
        <w:t>), o abetouro (</w:t>
      </w:r>
      <w:r w:rsidRPr="00520BB9">
        <w:rPr>
          <w:rFonts w:eastAsia="Times New Roman" w:cstheme="minorHAnsi"/>
          <w:i/>
          <w:iCs/>
          <w:color w:val="231F20"/>
          <w:sz w:val="24"/>
          <w:szCs w:val="24"/>
          <w:lang w:val="pt-PT" w:eastAsia="pt-PT"/>
        </w:rPr>
        <w:t>Botaurus stellaris</w:t>
      </w:r>
      <w:r w:rsidRPr="00520BB9">
        <w:rPr>
          <w:rFonts w:eastAsia="Times New Roman" w:cstheme="minorHAnsi"/>
          <w:color w:val="000000"/>
          <w:sz w:val="24"/>
          <w:szCs w:val="24"/>
          <w:lang w:val="pt-PT" w:eastAsia="pt-PT"/>
        </w:rPr>
        <w:t>), o lince euro-asiático (</w:t>
      </w:r>
      <w:r w:rsidRPr="00520BB9">
        <w:rPr>
          <w:rFonts w:eastAsia="Times New Roman" w:cstheme="minorHAnsi"/>
          <w:i/>
          <w:iCs/>
          <w:color w:val="231F20"/>
          <w:sz w:val="24"/>
          <w:szCs w:val="24"/>
          <w:lang w:val="pt-PT" w:eastAsia="pt-PT"/>
        </w:rPr>
        <w:t>Lynx lynx</w:t>
      </w:r>
      <w:r w:rsidRPr="00520BB9">
        <w:rPr>
          <w:rFonts w:eastAsia="Times New Roman" w:cstheme="minorHAnsi"/>
          <w:color w:val="000000"/>
          <w:sz w:val="24"/>
          <w:szCs w:val="24"/>
          <w:lang w:val="pt-PT" w:eastAsia="pt-PT"/>
        </w:rPr>
        <w:t>) e o lince ibérico (</w:t>
      </w:r>
      <w:r w:rsidRPr="00520BB9">
        <w:rPr>
          <w:rFonts w:eastAsia="Times New Roman" w:cstheme="minorHAnsi"/>
          <w:i/>
          <w:iCs/>
          <w:color w:val="231F20"/>
          <w:sz w:val="24"/>
          <w:szCs w:val="24"/>
          <w:lang w:val="pt-PT" w:eastAsia="pt-PT"/>
        </w:rPr>
        <w:t>Lynx pardinus</w:t>
      </w:r>
      <w:r w:rsidRPr="00520BB9">
        <w:rPr>
          <w:rFonts w:eastAsia="Times New Roman" w:cstheme="minorHAnsi"/>
          <w:color w:val="000000"/>
          <w:sz w:val="24"/>
          <w:szCs w:val="24"/>
          <w:lang w:val="pt-PT" w:eastAsia="pt-PT"/>
        </w:rPr>
        <w:t>).</w:t>
      </w:r>
    </w:p>
    <w:p w14:paraId="281FF441" w14:textId="77777777" w:rsidR="005C5157" w:rsidRDefault="005C5157" w:rsidP="00520B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pt-PT" w:eastAsia="pt-PT"/>
        </w:rPr>
      </w:pPr>
    </w:p>
    <w:p w14:paraId="6C09ADE8" w14:textId="5A4F1D32" w:rsidR="00520BB9" w:rsidRPr="00520BB9" w:rsidRDefault="00520BB9" w:rsidP="00520B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520BB9">
        <w:rPr>
          <w:rFonts w:eastAsia="Times New Roman" w:cstheme="minorHAnsi"/>
          <w:b/>
          <w:bCs/>
          <w:color w:val="000000"/>
          <w:sz w:val="24"/>
          <w:szCs w:val="24"/>
          <w:lang w:val="pt-PT" w:eastAsia="pt-PT"/>
        </w:rPr>
        <w:t>Apenas 0.06% dos invertebrados apoiados</w:t>
      </w:r>
    </w:p>
    <w:p w14:paraId="43EFA42A" w14:textId="77777777" w:rsidR="005C5157" w:rsidRDefault="005C5157" w:rsidP="00520B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pt-PT" w:eastAsia="pt-PT"/>
        </w:rPr>
      </w:pPr>
    </w:p>
    <w:p w14:paraId="1BE6A6C3" w14:textId="5C40FB25" w:rsidR="00520BB9" w:rsidRPr="00520BB9" w:rsidRDefault="00520BB9" w:rsidP="00520B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520BB9">
        <w:rPr>
          <w:rFonts w:eastAsia="Times New Roman" w:cstheme="minorHAnsi"/>
          <w:color w:val="000000"/>
          <w:sz w:val="24"/>
          <w:szCs w:val="24"/>
          <w:lang w:val="pt-PT" w:eastAsia="pt-PT"/>
        </w:rPr>
        <w:t>Este enviesamento no esforço de conservação é ainda mais notório quando observamos que a Europa tem cerca de 1800 espécies de vertebrados e 130.300 espécies de invertebrados conhecidas, refere Manuel Lopes-Lima, do Centro de Investigação em Biodiversidade e Recursos Genéticos (</w:t>
      </w:r>
      <w:hyperlink r:id="rId6" w:tgtFrame="_blank" w:history="1">
        <w:r w:rsidRPr="00520BB9">
          <w:rPr>
            <w:rFonts w:eastAsia="Times New Roman" w:cstheme="minorHAnsi"/>
            <w:color w:val="954F72"/>
            <w:sz w:val="24"/>
            <w:szCs w:val="24"/>
            <w:u w:val="single"/>
            <w:lang w:val="pt-PT" w:eastAsia="pt-PT"/>
          </w:rPr>
          <w:t>CIBIO</w:t>
        </w:r>
      </w:hyperlink>
      <w:r w:rsidRPr="00520BB9">
        <w:rPr>
          <w:rFonts w:eastAsia="Times New Roman" w:cstheme="minorHAnsi"/>
          <w:color w:val="000000"/>
          <w:sz w:val="24"/>
          <w:szCs w:val="24"/>
          <w:lang w:val="pt-PT" w:eastAsia="pt-PT"/>
        </w:rPr>
        <w:t>) da Universidade do Porto. No período considerado, o Programa LIFE cobriu 23% dos vertebrados e apenas 0,06% dos invertebrados da UE, realça Pedro Cardoso, da Universidade de Helsínquia. Segundo Ricardo Correia, da mesma academia finlandesa, o esforço de conservação é explicado principalmente pela popularidade da espécie (medido pelo volume de pesquisas online nos últimos dez anos), em vez do seu risco real de extinção.</w:t>
      </w:r>
    </w:p>
    <w:p w14:paraId="3F1B8EEA" w14:textId="6970D239" w:rsidR="00520BB9" w:rsidRPr="00520BB9" w:rsidRDefault="00520BB9" w:rsidP="00520B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520BB9">
        <w:rPr>
          <w:rFonts w:eastAsia="Times New Roman" w:cstheme="minorHAnsi"/>
          <w:color w:val="000000"/>
          <w:sz w:val="24"/>
          <w:szCs w:val="24"/>
          <w:lang w:val="pt-PT" w:eastAsia="pt-PT"/>
        </w:rPr>
        <w:t>O artigo agora publicado, “Towards a taxonomically unbiased European Union biodiversity strategy for 2030”, junta ainda autores de instituições de Itália e França. A Diretiva Habitats e o Programa LIFE foram avaliados neste estudo com o objetivo de apoiar a futura agenda do setor. A nova Estratégia da UE para a Biodiversidade 2030 foi lançada em maio e propõe revolucionar a maneira como é feita a conservação da natureza, com um grande investimento (estimado em 20 biliões de euros anuais, se incluirmos mitigação dos efeitos das alterações climáticas) para a proteção da biodiversidade e dos seus habitats.</w:t>
      </w:r>
    </w:p>
    <w:p w14:paraId="6E3A1CF8" w14:textId="65C7AFB4" w:rsidR="00520BB9" w:rsidRPr="00520BB9" w:rsidRDefault="00520BB9" w:rsidP="00520B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520BB9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Há uma “necessidade premente” de a UE mudar de paradigma neste âmbito, que passa por rever a lista de espécies contida na Diretiva Habitats, por atentar na conservação de espécies realmente ameaçadas e dos seus habitats, pela aposta financeira mais equitativa e que permita diminuir as desigualdades entre espécies de vertebrados e invertebrados apoiadas e, ainda, pelo maior envolvimento dos cidadãos, por exemplo, em campanhas de monitorização ambiental, justificam os autores do estudo agora </w:t>
      </w:r>
      <w:r w:rsidRPr="00520BB9">
        <w:rPr>
          <w:rFonts w:eastAsia="Times New Roman" w:cstheme="minorHAnsi"/>
          <w:color w:val="000000"/>
          <w:sz w:val="24"/>
          <w:szCs w:val="24"/>
          <w:lang w:val="pt-PT" w:eastAsia="pt-PT"/>
        </w:rPr>
        <w:lastRenderedPageBreak/>
        <w:t>publicado. Só assim é que a UE liderará o mundo pelo exemplo e ação no que diz respeito à conservação da biodiversidade, acrescentam.</w:t>
      </w:r>
    </w:p>
    <w:p w14:paraId="3FD2DC07" w14:textId="2CFC0539" w:rsidR="00520BB9" w:rsidRPr="005C5157" w:rsidRDefault="00520BB9">
      <w:pPr>
        <w:rPr>
          <w:rFonts w:cstheme="minorHAnsi"/>
          <w:sz w:val="24"/>
          <w:szCs w:val="24"/>
          <w:lang w:val="pt-PT"/>
        </w:rPr>
      </w:pPr>
    </w:p>
    <w:p w14:paraId="5B6123B6" w14:textId="38A3EC50" w:rsidR="005C5157" w:rsidRPr="005C5157" w:rsidRDefault="005C5157">
      <w:pPr>
        <w:rPr>
          <w:rFonts w:cstheme="minorHAnsi"/>
          <w:sz w:val="24"/>
          <w:szCs w:val="24"/>
          <w:lang w:val="pt-PT"/>
        </w:rPr>
      </w:pPr>
    </w:p>
    <w:p w14:paraId="03AD81D2" w14:textId="04A7178F" w:rsidR="005C5157" w:rsidRPr="005C5157" w:rsidRDefault="005C5157">
      <w:pPr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</w:pPr>
      <w:r w:rsidRPr="005C5157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>Gabinete de Comunicação e Imagem</w:t>
      </w:r>
      <w:r w:rsidRPr="005C5157">
        <w:rPr>
          <w:rFonts w:cstheme="minorHAnsi"/>
          <w:color w:val="000000"/>
          <w:sz w:val="24"/>
          <w:szCs w:val="24"/>
          <w:lang w:val="pt-PT"/>
        </w:rPr>
        <w:t xml:space="preserve"> - </w:t>
      </w:r>
      <w:r w:rsidRPr="005C5157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>Universidade do Minho</w:t>
      </w:r>
    </w:p>
    <w:p w14:paraId="330979C9" w14:textId="16E2A29B" w:rsidR="005C5157" w:rsidRPr="005C5157" w:rsidRDefault="005C5157">
      <w:pPr>
        <w:rPr>
          <w:rFonts w:cstheme="minorHAnsi"/>
          <w:sz w:val="24"/>
          <w:szCs w:val="24"/>
          <w:lang w:val="pt-PT"/>
        </w:rPr>
      </w:pPr>
      <w:r w:rsidRPr="005C5157">
        <w:rPr>
          <w:rFonts w:cstheme="minorHAnsi"/>
          <w:color w:val="000000"/>
          <w:sz w:val="24"/>
          <w:szCs w:val="24"/>
          <w:shd w:val="clear" w:color="auto" w:fill="FFFFFF"/>
          <w:lang w:val="pt-PT"/>
        </w:rPr>
        <w:t>Ciência na Imprensa Regional – Ciência Viva</w:t>
      </w:r>
    </w:p>
    <w:sectPr w:rsidR="005C5157" w:rsidRPr="005C5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FF"/>
    <w:rsid w:val="000540FF"/>
    <w:rsid w:val="001E0B3B"/>
    <w:rsid w:val="002C2BE2"/>
    <w:rsid w:val="00520BB9"/>
    <w:rsid w:val="00543EC9"/>
    <w:rsid w:val="005C5157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E3A9"/>
  <w15:chartTrackingRefBased/>
  <w15:docId w15:val="{34A23856-A960-48A2-9A8A-EA0F302F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520BB9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520B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6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bio.up.pt/" TargetMode="External"/><Relationship Id="rId5" Type="http://schemas.openxmlformats.org/officeDocument/2006/relationships/hyperlink" Target="https://humpback.ci.uc.pt/roundcube/" TargetMode="External"/><Relationship Id="rId4" Type="http://schemas.openxmlformats.org/officeDocument/2006/relationships/hyperlink" Target="https://royalsocietypublishing.org/doi/10.1098/rspb.2020.216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2020-12-15T11:02:00Z</dcterms:created>
  <dcterms:modified xsi:type="dcterms:W3CDTF">2020-12-15T11:05:00Z</dcterms:modified>
</cp:coreProperties>
</file>